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6D" w:rsidRDefault="009D409B">
      <w:pPr>
        <w:jc w:val="center"/>
        <w:rPr>
          <w:b/>
          <w:color w:val="000000"/>
        </w:rPr>
      </w:pPr>
      <w:r>
        <w:rPr>
          <w:b/>
          <w:noProof/>
          <w:color w:val="000000"/>
          <w:lang w:val="en-CA" w:eastAsia="en-CA"/>
        </w:rPr>
        <w:drawing>
          <wp:inline distT="0" distB="0" distL="0" distR="0">
            <wp:extent cx="2295525" cy="571500"/>
            <wp:effectExtent l="19050" t="0" r="9525" b="0"/>
            <wp:docPr id="1" name="Picture 1" descr="LogoStandard2poin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tandard2point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0CC" w:rsidRDefault="005620CC">
      <w:pPr>
        <w:jc w:val="center"/>
        <w:rPr>
          <w:b/>
          <w:color w:val="000000"/>
        </w:rPr>
      </w:pPr>
    </w:p>
    <w:p w:rsidR="0099676D" w:rsidRDefault="0099676D">
      <w:pPr>
        <w:jc w:val="center"/>
        <w:rPr>
          <w:b/>
          <w:color w:val="000000"/>
        </w:rPr>
      </w:pPr>
      <w:r>
        <w:rPr>
          <w:b/>
          <w:color w:val="000000"/>
        </w:rPr>
        <w:t>NOTICE OF DEVELOPMENT VARIANCE PERMIT RESOLUTION</w:t>
      </w:r>
    </w:p>
    <w:p w:rsidR="0099676D" w:rsidRPr="00F30C6F" w:rsidRDefault="0099676D">
      <w:pPr>
        <w:jc w:val="center"/>
        <w:rPr>
          <w:rFonts w:ascii="Arial Narrow" w:hAnsi="Arial Narrow"/>
          <w:b/>
          <w:color w:val="000000"/>
          <w:sz w:val="18"/>
          <w:szCs w:val="18"/>
        </w:rPr>
      </w:pPr>
    </w:p>
    <w:p w:rsidR="0099676D" w:rsidRPr="00F30C6F" w:rsidRDefault="0099676D">
      <w:pPr>
        <w:pBdr>
          <w:top w:val="single" w:sz="12" w:space="1" w:color="auto"/>
        </w:pBdr>
        <w:rPr>
          <w:smallCaps/>
          <w:color w:val="000000"/>
          <w:sz w:val="18"/>
          <w:szCs w:val="18"/>
        </w:rPr>
      </w:pPr>
    </w:p>
    <w:p w:rsidR="0099676D" w:rsidRDefault="0099676D">
      <w:pPr>
        <w:jc w:val="both"/>
        <w:rPr>
          <w:color w:val="000000"/>
        </w:rPr>
      </w:pPr>
      <w:r>
        <w:rPr>
          <w:color w:val="000000"/>
        </w:rPr>
        <w:t>Notice is hereby given that the Council of the City of Nanaimo, at its meeting to be held on 2015-</w:t>
      </w:r>
      <w:r w:rsidR="005D3F05">
        <w:rPr>
          <w:color w:val="000000"/>
        </w:rPr>
        <w:t>APR-20</w:t>
      </w:r>
      <w:r>
        <w:rPr>
          <w:color w:val="000000"/>
        </w:rPr>
        <w:t>, at 7:00 p.m. in the Shaw Auditorium, Vancouver Island Conference Centre, 80 Commercial Street, Nanaimo, B.C., will consider the adoption of a resolution to issue a development variance permit as follows:</w:t>
      </w:r>
    </w:p>
    <w:p w:rsidR="0099676D" w:rsidRDefault="0099676D">
      <w:pPr>
        <w:jc w:val="both"/>
        <w:rPr>
          <w:color w:val="000000"/>
        </w:rPr>
      </w:pPr>
    </w:p>
    <w:p w:rsidR="0099676D" w:rsidRDefault="0099676D">
      <w:pPr>
        <w:jc w:val="both"/>
        <w:rPr>
          <w:color w:val="000000"/>
          <w:u w:val="single"/>
        </w:rPr>
      </w:pPr>
      <w:proofErr w:type="gramStart"/>
      <w:r>
        <w:rPr>
          <w:b/>
          <w:color w:val="000000"/>
          <w:u w:val="single"/>
        </w:rPr>
        <w:t>Development Variance Permit No.</w:t>
      </w:r>
      <w:proofErr w:type="gramEnd"/>
      <w:r>
        <w:rPr>
          <w:b/>
          <w:color w:val="000000"/>
          <w:u w:val="single"/>
        </w:rPr>
        <w:t xml:space="preserve"> </w:t>
      </w:r>
      <w:r w:rsidRPr="00006C24">
        <w:rPr>
          <w:b/>
          <w:noProof/>
          <w:color w:val="000000"/>
          <w:u w:val="single"/>
        </w:rPr>
        <w:t>DVP0025</w:t>
      </w:r>
      <w:r w:rsidR="005D3F05">
        <w:rPr>
          <w:b/>
          <w:noProof/>
          <w:color w:val="000000"/>
          <w:u w:val="single"/>
        </w:rPr>
        <w:t>3</w:t>
      </w:r>
    </w:p>
    <w:p w:rsidR="0099676D" w:rsidRDefault="0099676D">
      <w:pPr>
        <w:jc w:val="both"/>
        <w:rPr>
          <w:color w:val="000000"/>
          <w:u w:val="single"/>
        </w:rPr>
      </w:pPr>
    </w:p>
    <w:p w:rsidR="0099676D" w:rsidRDefault="0099676D" w:rsidP="007F4DC4">
      <w:pPr>
        <w:spacing w:after="60"/>
        <w:jc w:val="both"/>
        <w:rPr>
          <w:color w:val="000000"/>
          <w:u w:val="single"/>
        </w:rPr>
      </w:pPr>
      <w:r>
        <w:rPr>
          <w:color w:val="000000"/>
          <w:u w:val="single"/>
        </w:rPr>
        <w:t>Variance</w:t>
      </w:r>
    </w:p>
    <w:p w:rsidR="005D3F05" w:rsidRDefault="005D3F05" w:rsidP="005D3F05">
      <w:pPr>
        <w:jc w:val="both"/>
        <w:rPr>
          <w:rFonts w:cs="Arial"/>
          <w:szCs w:val="22"/>
        </w:rPr>
      </w:pPr>
      <w:r w:rsidRPr="009728FA">
        <w:rPr>
          <w:rFonts w:cs="Arial"/>
          <w:color w:val="000000"/>
          <w:szCs w:val="22"/>
        </w:rPr>
        <w:t>A Development Variance Permit application was received from</w:t>
      </w:r>
      <w:r>
        <w:t xml:space="preserve"> IAN NIAMATH ARCHITECT, on behalf of</w:t>
      </w:r>
      <w:r>
        <w:rPr>
          <w:b/>
          <w:i/>
        </w:rPr>
        <w:t xml:space="preserve"> </w:t>
      </w:r>
      <w:r>
        <w:t>EL BAKKAR ENTERPRISES LTD.,</w:t>
      </w:r>
      <w:r w:rsidRPr="009728FA">
        <w:rPr>
          <w:rFonts w:cs="Arial"/>
          <w:color w:val="000000"/>
          <w:szCs w:val="22"/>
        </w:rPr>
        <w:t xml:space="preserve"> to vary the provisions of the City of Nanaimo </w:t>
      </w:r>
      <w:r>
        <w:rPr>
          <w:rFonts w:cs="Arial"/>
          <w:color w:val="000000"/>
          <w:szCs w:val="22"/>
        </w:rPr>
        <w:t>“</w:t>
      </w:r>
      <w:r>
        <w:rPr>
          <w:rFonts w:cs="Arial"/>
          <w:szCs w:val="22"/>
        </w:rPr>
        <w:t>DEVELOPMENT PARKING REGULATIONS BYLAW 2005 NO 7013</w:t>
      </w:r>
      <w:r w:rsidRPr="00EB604E">
        <w:rPr>
          <w:rFonts w:cs="Arial"/>
          <w:szCs w:val="22"/>
        </w:rPr>
        <w:t>”</w:t>
      </w:r>
      <w:r w:rsidR="0040631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F44002" w:rsidRPr="00CC1A12">
        <w:rPr>
          <w:rFonts w:cs="Arial"/>
          <w:szCs w:val="22"/>
        </w:rPr>
        <w:t xml:space="preserve">in order to </w:t>
      </w:r>
      <w:r w:rsidR="00F44002">
        <w:rPr>
          <w:rFonts w:cs="Arial"/>
          <w:szCs w:val="22"/>
        </w:rPr>
        <w:t xml:space="preserve">reduce the </w:t>
      </w:r>
      <w:r w:rsidR="00406311">
        <w:rPr>
          <w:rFonts w:cs="Arial"/>
          <w:szCs w:val="22"/>
        </w:rPr>
        <w:t xml:space="preserve">parking space requirement </w:t>
      </w:r>
      <w:r w:rsidR="00673942">
        <w:rPr>
          <w:rFonts w:cs="Arial"/>
          <w:szCs w:val="22"/>
        </w:rPr>
        <w:t>from</w:t>
      </w:r>
      <w:r w:rsidR="00406311">
        <w:rPr>
          <w:rFonts w:cs="Arial"/>
          <w:szCs w:val="22"/>
        </w:rPr>
        <w:t xml:space="preserve"> 8 </w:t>
      </w:r>
      <w:r w:rsidR="00673942">
        <w:rPr>
          <w:rFonts w:cs="Arial"/>
          <w:szCs w:val="22"/>
        </w:rPr>
        <w:t xml:space="preserve">parking </w:t>
      </w:r>
      <w:r w:rsidR="00406311">
        <w:rPr>
          <w:rFonts w:cs="Arial"/>
          <w:szCs w:val="22"/>
        </w:rPr>
        <w:t xml:space="preserve">spaces to 2 </w:t>
      </w:r>
      <w:r w:rsidR="00673942">
        <w:rPr>
          <w:rFonts w:cs="Arial"/>
          <w:szCs w:val="22"/>
        </w:rPr>
        <w:t xml:space="preserve">parking </w:t>
      </w:r>
      <w:r w:rsidR="00406311">
        <w:rPr>
          <w:rFonts w:cs="Arial"/>
          <w:szCs w:val="22"/>
        </w:rPr>
        <w:t>spaces,</w:t>
      </w:r>
      <w:r w:rsidR="00F44002">
        <w:rPr>
          <w:rFonts w:cs="Arial"/>
          <w:szCs w:val="22"/>
        </w:rPr>
        <w:t xml:space="preserve"> for a 26 seat </w:t>
      </w:r>
      <w:r w:rsidR="00F44002" w:rsidRPr="00406311">
        <w:rPr>
          <w:rFonts w:cs="Arial"/>
          <w:szCs w:val="22"/>
        </w:rPr>
        <w:t>restaurant</w:t>
      </w:r>
      <w:r w:rsidR="00E57DB9">
        <w:rPr>
          <w:rFonts w:cs="Arial"/>
          <w:szCs w:val="22"/>
        </w:rPr>
        <w:t>.</w:t>
      </w:r>
    </w:p>
    <w:p w:rsidR="00E57DB9" w:rsidRDefault="00E57DB9" w:rsidP="005D3F05">
      <w:pPr>
        <w:jc w:val="both"/>
        <w:rPr>
          <w:rFonts w:cs="Arial"/>
          <w:szCs w:val="22"/>
        </w:rPr>
      </w:pPr>
    </w:p>
    <w:p w:rsidR="00E57DB9" w:rsidRDefault="00E57DB9" w:rsidP="007F4DC4">
      <w:pPr>
        <w:spacing w:after="60"/>
        <w:jc w:val="both"/>
        <w:rPr>
          <w:rFonts w:cs="Arial"/>
          <w:szCs w:val="22"/>
        </w:rPr>
      </w:pPr>
      <w:r>
        <w:rPr>
          <w:rFonts w:cs="Arial"/>
          <w:szCs w:val="22"/>
        </w:rPr>
        <w:t>The parking requirement for the proposed development is as follows: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0"/>
        <w:gridCol w:w="2070"/>
      </w:tblGrid>
      <w:tr w:rsidR="007F4DC4" w:rsidRPr="007F4DC4" w:rsidTr="007F4DC4">
        <w:tc>
          <w:tcPr>
            <w:tcW w:w="2610" w:type="dxa"/>
          </w:tcPr>
          <w:p w:rsidR="007F4DC4" w:rsidRPr="007F4DC4" w:rsidRDefault="007F4DC4" w:rsidP="007B5877">
            <w:pPr>
              <w:jc w:val="both"/>
              <w:rPr>
                <w:rFonts w:cs="Arial"/>
                <w:i/>
                <w:szCs w:val="22"/>
              </w:rPr>
            </w:pPr>
            <w:r w:rsidRPr="007F4DC4">
              <w:rPr>
                <w:rFonts w:cs="Arial"/>
                <w:i/>
                <w:szCs w:val="22"/>
              </w:rPr>
              <w:t>Restaurant (26 seats)</w:t>
            </w:r>
          </w:p>
        </w:tc>
        <w:tc>
          <w:tcPr>
            <w:tcW w:w="2070" w:type="dxa"/>
          </w:tcPr>
          <w:p w:rsidR="007F4DC4" w:rsidRPr="007F4DC4" w:rsidRDefault="007F4DC4" w:rsidP="007B5877">
            <w:pPr>
              <w:jc w:val="both"/>
              <w:rPr>
                <w:rFonts w:cs="Arial"/>
                <w:i/>
                <w:szCs w:val="22"/>
              </w:rPr>
            </w:pPr>
            <w:r w:rsidRPr="007F4DC4">
              <w:rPr>
                <w:rFonts w:cs="Arial"/>
                <w:i/>
                <w:szCs w:val="22"/>
              </w:rPr>
              <w:t>8 spaces</w:t>
            </w:r>
          </w:p>
        </w:tc>
      </w:tr>
      <w:tr w:rsidR="007F4DC4" w:rsidRPr="007F4DC4" w:rsidTr="007F4DC4">
        <w:tc>
          <w:tcPr>
            <w:tcW w:w="2610" w:type="dxa"/>
          </w:tcPr>
          <w:p w:rsidR="007F4DC4" w:rsidRPr="007F4DC4" w:rsidRDefault="007F4DC4" w:rsidP="007B5877">
            <w:pPr>
              <w:jc w:val="both"/>
              <w:rPr>
                <w:rFonts w:cs="Arial"/>
                <w:i/>
                <w:szCs w:val="22"/>
              </w:rPr>
            </w:pPr>
            <w:r w:rsidRPr="007F4DC4">
              <w:rPr>
                <w:rFonts w:cs="Arial"/>
                <w:i/>
                <w:szCs w:val="22"/>
              </w:rPr>
              <w:t>Accessory Dwelling Unit</w:t>
            </w:r>
          </w:p>
        </w:tc>
        <w:tc>
          <w:tcPr>
            <w:tcW w:w="2070" w:type="dxa"/>
          </w:tcPr>
          <w:p w:rsidR="007F4DC4" w:rsidRPr="007F4DC4" w:rsidRDefault="007F4DC4" w:rsidP="007B5877">
            <w:pPr>
              <w:jc w:val="both"/>
              <w:rPr>
                <w:rFonts w:cs="Arial"/>
                <w:i/>
                <w:szCs w:val="22"/>
              </w:rPr>
            </w:pPr>
            <w:r w:rsidRPr="007F4DC4">
              <w:rPr>
                <w:rFonts w:cs="Arial"/>
                <w:i/>
                <w:szCs w:val="22"/>
              </w:rPr>
              <w:t>1 space</w:t>
            </w:r>
          </w:p>
        </w:tc>
      </w:tr>
      <w:tr w:rsidR="007F4DC4" w:rsidRPr="007F4DC4" w:rsidTr="007F4DC4">
        <w:tc>
          <w:tcPr>
            <w:tcW w:w="2610" w:type="dxa"/>
          </w:tcPr>
          <w:p w:rsidR="007F4DC4" w:rsidRPr="007F4DC4" w:rsidRDefault="007F4DC4" w:rsidP="007B5877">
            <w:pPr>
              <w:jc w:val="both"/>
              <w:rPr>
                <w:rFonts w:cs="Arial"/>
                <w:i/>
                <w:szCs w:val="22"/>
              </w:rPr>
            </w:pPr>
            <w:r w:rsidRPr="007F4DC4">
              <w:rPr>
                <w:rFonts w:cs="Arial"/>
                <w:i/>
                <w:szCs w:val="22"/>
              </w:rPr>
              <w:t>Home Based Business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F4DC4" w:rsidRPr="007F4DC4" w:rsidRDefault="007F4DC4" w:rsidP="007B5877">
            <w:pPr>
              <w:jc w:val="both"/>
              <w:rPr>
                <w:rFonts w:cs="Arial"/>
                <w:i/>
                <w:szCs w:val="22"/>
              </w:rPr>
            </w:pPr>
            <w:r w:rsidRPr="007F4DC4">
              <w:rPr>
                <w:rFonts w:cs="Arial"/>
                <w:i/>
                <w:szCs w:val="22"/>
              </w:rPr>
              <w:t>1 space</w:t>
            </w:r>
          </w:p>
        </w:tc>
      </w:tr>
      <w:tr w:rsidR="007F4DC4" w:rsidRPr="007F4DC4" w:rsidTr="007F4DC4">
        <w:tc>
          <w:tcPr>
            <w:tcW w:w="2610" w:type="dxa"/>
          </w:tcPr>
          <w:p w:rsidR="007F4DC4" w:rsidRPr="007F4DC4" w:rsidRDefault="007F4DC4" w:rsidP="007F4DC4">
            <w:pPr>
              <w:ind w:right="252"/>
              <w:jc w:val="right"/>
              <w:rPr>
                <w:rFonts w:cs="Arial"/>
                <w:i/>
                <w:szCs w:val="22"/>
              </w:rPr>
            </w:pPr>
            <w:r w:rsidRPr="007F4DC4">
              <w:rPr>
                <w:rFonts w:cs="Arial"/>
                <w:i/>
                <w:szCs w:val="22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bottom w:val="double" w:sz="4" w:space="0" w:color="auto"/>
            </w:tcBorders>
          </w:tcPr>
          <w:p w:rsidR="007F4DC4" w:rsidRPr="007F4DC4" w:rsidRDefault="007F4DC4" w:rsidP="007B5877">
            <w:pPr>
              <w:jc w:val="both"/>
              <w:rPr>
                <w:rFonts w:cs="Arial"/>
                <w:i/>
                <w:szCs w:val="22"/>
              </w:rPr>
            </w:pPr>
            <w:r w:rsidRPr="007F4DC4">
              <w:rPr>
                <w:rFonts w:cs="Arial"/>
                <w:i/>
                <w:szCs w:val="22"/>
              </w:rPr>
              <w:t>10 parking spaces</w:t>
            </w:r>
          </w:p>
        </w:tc>
      </w:tr>
    </w:tbl>
    <w:p w:rsidR="007F4DC4" w:rsidRDefault="007F4DC4" w:rsidP="007B5877">
      <w:pPr>
        <w:jc w:val="both"/>
        <w:rPr>
          <w:rFonts w:cs="Arial"/>
          <w:sz w:val="20"/>
        </w:rPr>
      </w:pPr>
    </w:p>
    <w:p w:rsidR="00092318" w:rsidRPr="007B5877" w:rsidRDefault="00673942" w:rsidP="007B5877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E57DB9">
        <w:rPr>
          <w:rFonts w:cs="Arial"/>
          <w:szCs w:val="22"/>
        </w:rPr>
        <w:t xml:space="preserve">f the </w:t>
      </w:r>
      <w:r>
        <w:rPr>
          <w:rFonts w:cs="Arial"/>
          <w:szCs w:val="22"/>
        </w:rPr>
        <w:t>10</w:t>
      </w:r>
      <w:r w:rsidR="00E57DB9">
        <w:rPr>
          <w:rFonts w:cs="Arial"/>
          <w:szCs w:val="22"/>
        </w:rPr>
        <w:t xml:space="preserve"> required </w:t>
      </w:r>
      <w:r>
        <w:rPr>
          <w:rFonts w:cs="Arial"/>
          <w:szCs w:val="22"/>
        </w:rPr>
        <w:t xml:space="preserve">parking spaces, 4 </w:t>
      </w:r>
      <w:r w:rsidR="00E57DB9">
        <w:rPr>
          <w:rFonts w:cs="Arial"/>
          <w:szCs w:val="22"/>
        </w:rPr>
        <w:t>spaces will be accommodated on-site; a variance is required</w:t>
      </w:r>
      <w:r w:rsidR="007B5877">
        <w:rPr>
          <w:rFonts w:cs="Arial"/>
          <w:szCs w:val="22"/>
        </w:rPr>
        <w:t xml:space="preserve"> for the remaining six spaces.  </w:t>
      </w:r>
      <w:r w:rsidR="00E57DB9">
        <w:rPr>
          <w:rFonts w:cs="Arial"/>
          <w:szCs w:val="22"/>
        </w:rPr>
        <w:t xml:space="preserve">In order to accommodate the parking demand for the restaurant, the owner has purchased the adjacent property at 118 </w:t>
      </w:r>
      <w:proofErr w:type="spellStart"/>
      <w:r w:rsidR="009655CD">
        <w:rPr>
          <w:rFonts w:cs="Arial"/>
          <w:szCs w:val="22"/>
        </w:rPr>
        <w:t>Haliburton</w:t>
      </w:r>
      <w:proofErr w:type="spellEnd"/>
      <w:r w:rsidR="00E57DB9">
        <w:rPr>
          <w:rFonts w:cs="Arial"/>
          <w:szCs w:val="22"/>
        </w:rPr>
        <w:t xml:space="preserve"> Street to </w:t>
      </w:r>
      <w:r>
        <w:rPr>
          <w:rFonts w:cs="Arial"/>
          <w:szCs w:val="22"/>
        </w:rPr>
        <w:t xml:space="preserve">provide </w:t>
      </w:r>
      <w:r w:rsidR="00E57DB9">
        <w:rPr>
          <w:rFonts w:cs="Arial"/>
          <w:szCs w:val="22"/>
        </w:rPr>
        <w:t>for restaurant patron parking</w:t>
      </w:r>
      <w:r w:rsidR="00BC3A69">
        <w:rPr>
          <w:rFonts w:cs="Arial"/>
          <w:szCs w:val="22"/>
        </w:rPr>
        <w:t>.</w:t>
      </w:r>
    </w:p>
    <w:p w:rsidR="00092318" w:rsidRPr="0065362C" w:rsidRDefault="00092318" w:rsidP="007F4DC4">
      <w:pPr>
        <w:spacing w:after="60"/>
        <w:jc w:val="both"/>
        <w:rPr>
          <w:u w:val="single"/>
        </w:rPr>
      </w:pPr>
      <w:r w:rsidRPr="0065362C">
        <w:rPr>
          <w:u w:val="single"/>
        </w:rPr>
        <w:t>Bylaw Regulations</w:t>
      </w:r>
    </w:p>
    <w:p w:rsidR="007B5877" w:rsidRDefault="00E57DB9" w:rsidP="00092318">
      <w:pPr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>“</w:t>
      </w:r>
      <w:r>
        <w:rPr>
          <w:rFonts w:cs="Arial"/>
          <w:szCs w:val="22"/>
        </w:rPr>
        <w:t xml:space="preserve">DEVELOPMENT PARKING REGULATIONS BYLAW 2005 NO 7013” requires 1 parking space for every </w:t>
      </w:r>
      <w:r w:rsidR="0021083F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seats within a restaurant use.  One additional parking space </w:t>
      </w:r>
      <w:r w:rsidR="00673942">
        <w:rPr>
          <w:rFonts w:cs="Arial"/>
          <w:szCs w:val="22"/>
        </w:rPr>
        <w:t xml:space="preserve">each </w:t>
      </w:r>
      <w:r>
        <w:rPr>
          <w:rFonts w:cs="Arial"/>
          <w:szCs w:val="22"/>
        </w:rPr>
        <w:t xml:space="preserve">is required </w:t>
      </w:r>
      <w:r w:rsidR="0021083F">
        <w:rPr>
          <w:rFonts w:cs="Arial"/>
          <w:szCs w:val="22"/>
        </w:rPr>
        <w:t xml:space="preserve">for </w:t>
      </w:r>
      <w:proofErr w:type="gramStart"/>
      <w:r w:rsidR="0021083F">
        <w:rPr>
          <w:rFonts w:cs="Arial"/>
          <w:szCs w:val="22"/>
        </w:rPr>
        <w:t>a</w:t>
      </w:r>
      <w:proofErr w:type="gramEnd"/>
      <w:r w:rsidR="0021083F">
        <w:rPr>
          <w:rFonts w:cs="Arial"/>
          <w:szCs w:val="22"/>
        </w:rPr>
        <w:t xml:space="preserve"> accessory dwelling unit and</w:t>
      </w:r>
      <w:r w:rsidR="007B5877">
        <w:rPr>
          <w:rFonts w:cs="Arial"/>
          <w:szCs w:val="22"/>
        </w:rPr>
        <w:t xml:space="preserve"> home based business respectively.  The required parking must be provided on</w:t>
      </w:r>
      <w:r w:rsidR="009E6D18">
        <w:rPr>
          <w:rFonts w:cs="Arial"/>
          <w:szCs w:val="22"/>
        </w:rPr>
        <w:t>-</w:t>
      </w:r>
      <w:r w:rsidR="007B5877">
        <w:rPr>
          <w:rFonts w:cs="Arial"/>
          <w:szCs w:val="22"/>
        </w:rPr>
        <w:t>site.</w:t>
      </w:r>
    </w:p>
    <w:p w:rsidR="00092318" w:rsidRPr="0065362C" w:rsidRDefault="00092318" w:rsidP="00092318">
      <w:pPr>
        <w:jc w:val="both"/>
      </w:pPr>
    </w:p>
    <w:p w:rsidR="0099676D" w:rsidRDefault="0099676D" w:rsidP="007F4DC4">
      <w:pPr>
        <w:spacing w:after="60"/>
        <w:jc w:val="both"/>
        <w:rPr>
          <w:color w:val="000000"/>
        </w:rPr>
      </w:pPr>
      <w:r>
        <w:rPr>
          <w:color w:val="000000"/>
          <w:u w:val="single"/>
        </w:rPr>
        <w:t>Location</w:t>
      </w:r>
    </w:p>
    <w:p w:rsidR="0099676D" w:rsidRDefault="0099676D">
      <w:pPr>
        <w:jc w:val="both"/>
        <w:rPr>
          <w:color w:val="000000"/>
        </w:rPr>
      </w:pPr>
      <w:r>
        <w:rPr>
          <w:color w:val="000000"/>
        </w:rPr>
        <w:t xml:space="preserve">The subject property is located at </w:t>
      </w:r>
      <w:r w:rsidR="00BC3A69">
        <w:rPr>
          <w:noProof/>
          <w:color w:val="000000"/>
        </w:rPr>
        <w:t>135 NICOL STREET</w:t>
      </w:r>
      <w:r>
        <w:rPr>
          <w:color w:val="000000"/>
        </w:rPr>
        <w:t xml:space="preserve">.  This property is legally described as </w:t>
      </w:r>
      <w:r w:rsidR="00BC3A69">
        <w:rPr>
          <w:color w:val="000000"/>
        </w:rPr>
        <w:t xml:space="preserve">the </w:t>
      </w:r>
      <w:r w:rsidR="00BC3A69" w:rsidRPr="00BC3A69">
        <w:rPr>
          <w:color w:val="000000"/>
        </w:rPr>
        <w:t xml:space="preserve">SOUTHERLY 1/2 OF LOT 7, BLOCK 10, SECTION 1, NANAIMO DISTRICT, </w:t>
      </w:r>
      <w:proofErr w:type="gramStart"/>
      <w:r w:rsidR="00BC3A69" w:rsidRPr="00BC3A69">
        <w:rPr>
          <w:color w:val="000000"/>
        </w:rPr>
        <w:t>PLAN</w:t>
      </w:r>
      <w:proofErr w:type="gramEnd"/>
      <w:r w:rsidR="00BC3A69" w:rsidRPr="00BC3A69">
        <w:rPr>
          <w:color w:val="000000"/>
        </w:rPr>
        <w:t xml:space="preserve"> 584</w:t>
      </w:r>
      <w:r>
        <w:rPr>
          <w:color w:val="000000"/>
        </w:rPr>
        <w:t xml:space="preserve">.  The subject property is identified on </w:t>
      </w:r>
      <w:r w:rsidR="00F30C6F" w:rsidRPr="00F30C6F">
        <w:rPr>
          <w:color w:val="000000"/>
        </w:rPr>
        <w:t>Attachment</w:t>
      </w:r>
      <w:r w:rsidRPr="00F30C6F">
        <w:rPr>
          <w:color w:val="000000"/>
        </w:rPr>
        <w:t xml:space="preserve"> A</w:t>
      </w:r>
      <w:r>
        <w:rPr>
          <w:color w:val="000000"/>
        </w:rPr>
        <w:t>.</w:t>
      </w:r>
    </w:p>
    <w:p w:rsidR="0099676D" w:rsidRDefault="0099676D">
      <w:pPr>
        <w:jc w:val="both"/>
        <w:rPr>
          <w:color w:val="000000"/>
        </w:rPr>
      </w:pPr>
    </w:p>
    <w:p w:rsidR="0099676D" w:rsidRDefault="0099676D">
      <w:pPr>
        <w:jc w:val="both"/>
        <w:rPr>
          <w:color w:val="000000"/>
        </w:rPr>
      </w:pPr>
      <w:r>
        <w:rPr>
          <w:color w:val="000000"/>
        </w:rPr>
        <w:t>This application may be reviewed at the Community Development Division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br/>
        <w:t>411 Dunsmuir Street, Nanaimo, B.C., during normal business hours 8:30 a.m. to 4:30 p.m., Monday to Friday, excluding s</w:t>
      </w:r>
      <w:r w:rsidR="0021083F">
        <w:rPr>
          <w:color w:val="000000"/>
        </w:rPr>
        <w:t>tatutory holidays, from 2015-APR-10</w:t>
      </w:r>
      <w:r>
        <w:rPr>
          <w:color w:val="000000"/>
        </w:rPr>
        <w:t xml:space="preserve"> to 2015-</w:t>
      </w:r>
      <w:r w:rsidR="0021083F">
        <w:rPr>
          <w:color w:val="000000"/>
        </w:rPr>
        <w:t>APR-20</w:t>
      </w:r>
      <w:r>
        <w:rPr>
          <w:color w:val="000000"/>
        </w:rPr>
        <w:t>, inclusive.  Anyone wishing to address this matter will be given the opportunity to be heard at the Council meeting.</w:t>
      </w:r>
    </w:p>
    <w:p w:rsidR="0099676D" w:rsidRDefault="0099676D">
      <w:pPr>
        <w:jc w:val="both"/>
        <w:rPr>
          <w:color w:val="000000"/>
        </w:rPr>
      </w:pPr>
    </w:p>
    <w:p w:rsidR="0099676D" w:rsidRDefault="0099676D">
      <w:pPr>
        <w:jc w:val="both"/>
        <w:rPr>
          <w:color w:val="000000"/>
        </w:rPr>
      </w:pPr>
      <w:r>
        <w:rPr>
          <w:color w:val="000000"/>
        </w:rPr>
        <w:t xml:space="preserve">This notification is published in accordance with Section 922 of the </w:t>
      </w:r>
      <w:r>
        <w:rPr>
          <w:i/>
          <w:color w:val="000000"/>
        </w:rPr>
        <w:t>Local Government Act.</w:t>
      </w:r>
    </w:p>
    <w:p w:rsidR="0099676D" w:rsidRDefault="0099676D">
      <w:pPr>
        <w:jc w:val="both"/>
        <w:rPr>
          <w:color w:val="000000"/>
        </w:rPr>
      </w:pPr>
    </w:p>
    <w:p w:rsidR="00092318" w:rsidRDefault="0021083F">
      <w:pPr>
        <w:jc w:val="both"/>
        <w:rPr>
          <w:color w:val="000000"/>
        </w:rPr>
      </w:pPr>
      <w:r>
        <w:rPr>
          <w:color w:val="000000"/>
        </w:rPr>
        <w:t>David Stewart,</w:t>
      </w:r>
      <w:r w:rsidR="00092318">
        <w:rPr>
          <w:color w:val="000000"/>
        </w:rPr>
        <w:t xml:space="preserve"> Planner</w:t>
      </w:r>
    </w:p>
    <w:p w:rsidR="00092318" w:rsidRDefault="00092318">
      <w:pPr>
        <w:jc w:val="both"/>
        <w:rPr>
          <w:color w:val="000000"/>
        </w:rPr>
      </w:pPr>
      <w:r>
        <w:rPr>
          <w:color w:val="000000"/>
        </w:rPr>
        <w:t>Development Approvals Division</w:t>
      </w:r>
    </w:p>
    <w:p w:rsidR="0099676D" w:rsidRPr="001D637D" w:rsidRDefault="0099676D">
      <w:pPr>
        <w:jc w:val="both"/>
        <w:rPr>
          <w:b/>
          <w:i/>
          <w:color w:val="000000"/>
        </w:rPr>
      </w:pPr>
      <w:r w:rsidRPr="001D637D">
        <w:rPr>
          <w:b/>
          <w:i/>
          <w:color w:val="000000"/>
        </w:rPr>
        <w:t>Community Development</w:t>
      </w:r>
    </w:p>
    <w:p w:rsidR="00406311" w:rsidRDefault="0099676D">
      <w:pPr>
        <w:jc w:val="both"/>
        <w:rPr>
          <w:color w:val="000000"/>
        </w:rPr>
      </w:pPr>
      <w:r>
        <w:rPr>
          <w:color w:val="000000"/>
        </w:rPr>
        <w:t>CITY OF NANAIMO</w:t>
      </w:r>
    </w:p>
    <w:p w:rsidR="0099676D" w:rsidRDefault="0099676D">
      <w:pPr>
        <w:jc w:val="both"/>
        <w:rPr>
          <w:color w:val="000000"/>
        </w:rPr>
      </w:pPr>
      <w:r>
        <w:rPr>
          <w:color w:val="000000"/>
        </w:rPr>
        <w:t>250 755-4429</w:t>
      </w:r>
    </w:p>
    <w:sectPr w:rsidR="0099676D" w:rsidSect="00406311">
      <w:headerReference w:type="default" r:id="rId8"/>
      <w:type w:val="continuous"/>
      <w:pgSz w:w="12240" w:h="15840" w:code="1"/>
      <w:pgMar w:top="288" w:right="1440" w:bottom="245" w:left="1440" w:header="720" w:footer="720" w:gutter="0"/>
      <w:paperSrc w:first="1025" w:other="102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375" w:rsidRDefault="00A87375">
      <w:r>
        <w:separator/>
      </w:r>
    </w:p>
  </w:endnote>
  <w:endnote w:type="continuationSeparator" w:id="0">
    <w:p w:rsidR="00A87375" w:rsidRDefault="00A87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375" w:rsidRDefault="00A87375">
      <w:r>
        <w:separator/>
      </w:r>
    </w:p>
  </w:footnote>
  <w:footnote w:type="continuationSeparator" w:id="0">
    <w:p w:rsidR="00A87375" w:rsidRDefault="00A87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75" w:rsidRDefault="00A87375">
    <w:pPr>
      <w:pStyle w:val="Header"/>
      <w:jc w:val="center"/>
    </w:pPr>
    <w:r>
      <w:t xml:space="preserve">- Page </w:t>
    </w:r>
    <w:fldSimple w:instr="PAGE">
      <w:r w:rsidR="005620CC">
        <w:rPr>
          <w:noProof/>
        </w:rPr>
        <w:t>2</w:t>
      </w:r>
    </w:fldSimple>
    <w:r>
      <w:t xml:space="preserve"> -</w:t>
    </w:r>
  </w:p>
  <w:p w:rsidR="00A87375" w:rsidRDefault="00A87375">
    <w:pPr>
      <w:pStyle w:val="Header"/>
      <w:jc w:val="center"/>
    </w:pPr>
  </w:p>
  <w:p w:rsidR="00A87375" w:rsidRDefault="00A87375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16F8C"/>
    <w:rsid w:val="00012E3A"/>
    <w:rsid w:val="00060544"/>
    <w:rsid w:val="00092318"/>
    <w:rsid w:val="000D321C"/>
    <w:rsid w:val="00135AE4"/>
    <w:rsid w:val="0016290D"/>
    <w:rsid w:val="001D637D"/>
    <w:rsid w:val="001D68E4"/>
    <w:rsid w:val="001F36C6"/>
    <w:rsid w:val="0021083F"/>
    <w:rsid w:val="00243744"/>
    <w:rsid w:val="002B2752"/>
    <w:rsid w:val="002F7441"/>
    <w:rsid w:val="00311BAC"/>
    <w:rsid w:val="00317779"/>
    <w:rsid w:val="00335D68"/>
    <w:rsid w:val="003649B3"/>
    <w:rsid w:val="003764DC"/>
    <w:rsid w:val="00406311"/>
    <w:rsid w:val="0042738F"/>
    <w:rsid w:val="004853E7"/>
    <w:rsid w:val="004B229A"/>
    <w:rsid w:val="004B4FC9"/>
    <w:rsid w:val="005620CC"/>
    <w:rsid w:val="00565292"/>
    <w:rsid w:val="00594092"/>
    <w:rsid w:val="005C2267"/>
    <w:rsid w:val="005C5A44"/>
    <w:rsid w:val="005C6954"/>
    <w:rsid w:val="005D3F05"/>
    <w:rsid w:val="0061593F"/>
    <w:rsid w:val="00652D3D"/>
    <w:rsid w:val="00673807"/>
    <w:rsid w:val="00673942"/>
    <w:rsid w:val="00681158"/>
    <w:rsid w:val="006934D9"/>
    <w:rsid w:val="006A4BCC"/>
    <w:rsid w:val="007335DB"/>
    <w:rsid w:val="007B5877"/>
    <w:rsid w:val="007C2CC4"/>
    <w:rsid w:val="007F4DC4"/>
    <w:rsid w:val="0088009D"/>
    <w:rsid w:val="0093590D"/>
    <w:rsid w:val="009413C8"/>
    <w:rsid w:val="00947DBC"/>
    <w:rsid w:val="00964084"/>
    <w:rsid w:val="009655CD"/>
    <w:rsid w:val="0099676D"/>
    <w:rsid w:val="009D409B"/>
    <w:rsid w:val="009E1820"/>
    <w:rsid w:val="009E2FA2"/>
    <w:rsid w:val="009E6D18"/>
    <w:rsid w:val="00A42E3B"/>
    <w:rsid w:val="00A56368"/>
    <w:rsid w:val="00A87375"/>
    <w:rsid w:val="00B43EDE"/>
    <w:rsid w:val="00B46047"/>
    <w:rsid w:val="00B53D07"/>
    <w:rsid w:val="00B56431"/>
    <w:rsid w:val="00B679B0"/>
    <w:rsid w:val="00BC3A69"/>
    <w:rsid w:val="00BD090F"/>
    <w:rsid w:val="00BE0F28"/>
    <w:rsid w:val="00BE1642"/>
    <w:rsid w:val="00BE25C4"/>
    <w:rsid w:val="00C350D0"/>
    <w:rsid w:val="00CE17E0"/>
    <w:rsid w:val="00CE6F8F"/>
    <w:rsid w:val="00D16F8C"/>
    <w:rsid w:val="00D31B28"/>
    <w:rsid w:val="00D55A75"/>
    <w:rsid w:val="00D575A8"/>
    <w:rsid w:val="00D8179D"/>
    <w:rsid w:val="00D81B82"/>
    <w:rsid w:val="00E34686"/>
    <w:rsid w:val="00E57DB9"/>
    <w:rsid w:val="00EA7854"/>
    <w:rsid w:val="00F30C6F"/>
    <w:rsid w:val="00F404BB"/>
    <w:rsid w:val="00F41849"/>
    <w:rsid w:val="00F44002"/>
    <w:rsid w:val="00F81658"/>
    <w:rsid w:val="00F83019"/>
    <w:rsid w:val="00FA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9B3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649B3"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3649B3"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rsid w:val="003649B3"/>
    <w:pPr>
      <w:ind w:left="3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649B3"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rsid w:val="003649B3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3649B3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3649B3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3649B3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3649B3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649B3"/>
    <w:pPr>
      <w:ind w:left="720"/>
    </w:pPr>
  </w:style>
  <w:style w:type="paragraph" w:styleId="Header">
    <w:name w:val="header"/>
    <w:basedOn w:val="Normal"/>
    <w:rsid w:val="003649B3"/>
    <w:pPr>
      <w:tabs>
        <w:tab w:val="center" w:pos="4252"/>
        <w:tab w:val="right" w:pos="8504"/>
      </w:tabs>
    </w:pPr>
  </w:style>
  <w:style w:type="character" w:styleId="FootnoteReference">
    <w:name w:val="footnote reference"/>
    <w:basedOn w:val="DefaultParagraphFont"/>
    <w:semiHidden/>
    <w:rsid w:val="003649B3"/>
    <w:rPr>
      <w:position w:val="6"/>
      <w:sz w:val="16"/>
    </w:rPr>
  </w:style>
  <w:style w:type="paragraph" w:styleId="FootnoteText">
    <w:name w:val="footnote text"/>
    <w:basedOn w:val="Normal"/>
    <w:semiHidden/>
    <w:rsid w:val="003649B3"/>
    <w:rPr>
      <w:sz w:val="20"/>
    </w:rPr>
  </w:style>
  <w:style w:type="paragraph" w:customStyle="1" w:styleId="HEAD2">
    <w:name w:val="HEAD 2"/>
    <w:basedOn w:val="Normal"/>
    <w:rsid w:val="003649B3"/>
    <w:pPr>
      <w:spacing w:before="240"/>
      <w:ind w:firstLine="720"/>
    </w:pPr>
    <w:rPr>
      <w:i/>
      <w:sz w:val="24"/>
    </w:rPr>
  </w:style>
  <w:style w:type="paragraph" w:customStyle="1" w:styleId="HEAD1">
    <w:name w:val="HEAD_1"/>
    <w:rsid w:val="003649B3"/>
    <w:pPr>
      <w:spacing w:after="120"/>
    </w:pPr>
    <w:rPr>
      <w:b/>
      <w:sz w:val="26"/>
      <w:lang w:val="en-US" w:eastAsia="en-US"/>
    </w:rPr>
  </w:style>
  <w:style w:type="paragraph" w:customStyle="1" w:styleId="QUOTATIONS">
    <w:name w:val="QUOTATIONS"/>
    <w:basedOn w:val="Normal"/>
    <w:rsid w:val="003649B3"/>
    <w:pPr>
      <w:spacing w:before="120" w:after="120"/>
      <w:ind w:left="720" w:right="720"/>
      <w:jc w:val="both"/>
    </w:pPr>
    <w:rPr>
      <w:sz w:val="20"/>
    </w:rPr>
  </w:style>
  <w:style w:type="paragraph" w:styleId="Footer">
    <w:name w:val="footer"/>
    <w:basedOn w:val="Normal"/>
    <w:rsid w:val="003649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7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F4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D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F6BE-FA1F-43E7-9D7F-104A3B37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Development Variance Permit Resolution</vt:lpstr>
    </vt:vector>
  </TitlesOfParts>
  <Company>City of Nanaimo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Development Variance Permit Resolution</dc:title>
  <dc:subject>Notice of Development Variance Permit Resolution</dc:subject>
  <dc:creator>Arturo S. Ramirez</dc:creator>
  <cp:keywords>development variance permit</cp:keywords>
  <cp:lastModifiedBy>Laurie Boehm</cp:lastModifiedBy>
  <cp:revision>7</cp:revision>
  <cp:lastPrinted>2015-03-30T22:53:00Z</cp:lastPrinted>
  <dcterms:created xsi:type="dcterms:W3CDTF">2015-03-19T20:51:00Z</dcterms:created>
  <dcterms:modified xsi:type="dcterms:W3CDTF">2015-04-09T17:14:00Z</dcterms:modified>
</cp:coreProperties>
</file>